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bmp" ContentType="image/x-bmp"/>
  <Default Extension="gif" ContentType="image/gif"/>
  <Default Extension="png" ContentType="image/png"/>
  <Default Extension="tiff" ContentType="image/tiff"/>
  <Default Extension="tif" ContentType="image/tiff"/>
  <Default Extension="wmf" ContentType="image/x-wmf"/>
  <Default Extension="emf" ContentType="image/x-emf"/>
  <Default Extension="wdp" ContentType="image/vnd.ms-photo"/>
  <Default Extension="jxr" ContentType="image/vnd.ms-photo"/>
  <Default Extension="dds" ContentType="image/vnd.ms-dds"/>
  <Default Extension="heic" ContentType="image/heic"/>
  <Default Extension="svg" ContentType="image/svg+xml"/>
  <Default Extension="bin" ContentType="application/vnd.openxmlformats-officedocument.oleObject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0001.xml" ContentType="application/vnd.openxmlformats-officedocument.wordprocessingml.header+xml"/>
  <Override PartName="/word/footer000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
	<Relationship Id="rId00001" Type="http://schemas.openxmlformats.org/officeDocument/2006/relationships/officeDocument" Target="word/document.xml"/>
	<Relationship Id="rId00002" Type="http://schemas.openxmlformats.org/package/2006/relationships/metadata/core-properties" Target="docProps/core.xml"/>
	<Relationship Id="rId00003" Type="http://schemas.openxmlformats.org/officeDocument/2006/relationships/extended-properties" Target="docProps/app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body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jc w:val="center"/>
        <w:rPr>
          <w:rFonts w:ascii="Arial" w:hAnsi="Arial" w:eastAsia="Arial" w:cs="Arial"/>
          <w:b/>
          <w:bCs/>
          <w:sz w:val="28"/>
          <w:szCs w:val="28"/>
          <w:lang w:val="it-IT" w:eastAsia="it-IT" w:bidi="it-IT"/>
        </w:rPr>
      </w:pPr>
      <w:r>
        <w:rPr>
          <w:rFonts w:ascii="Arial" w:hAnsi="Arial" w:eastAsia="Arial" w:cs="Arial"/>
          <w:b/>
          <w:bCs/>
          <w:noProof/>
          <w:color w:val="000000"/>
          <w:sz w:val="28"/>
          <w:szCs w:val="28"/>
          <w:lang w:val="it-IT" w:eastAsia="it-IT" w:bidi="it-IT"/>
        </w:rPr>
        <w:t xml:space="preserve">ODONTOIATRIA PRATICA E.T.S.</w:t>
      </w:r>
    </w:p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jc w:val="center"/>
        <w:rPr>
          <w:rFonts w:ascii="Arial" w:hAnsi="Arial" w:eastAsia="Arial" w:cs="Arial"/>
          <w:sz w:val="20"/>
          <w:szCs w:val="20"/>
          <w:lang w:val="it-IT" w:eastAsia="it-IT" w:bidi="it-IT"/>
        </w:rPr>
      </w:pPr>
    </w:p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jc w:val="center"/>
        <w:rPr>
          <w:rFonts w:ascii="Arial" w:hAnsi="Arial" w:eastAsia="Arial" w:cs="Arial"/>
          <w:sz w:val="20"/>
          <w:szCs w:val="20"/>
          <w:lang w:val="it-IT" w:eastAsia="it-IT" w:bidi="it-IT"/>
        </w:rPr>
      </w:pPr>
      <w:r>
        <w:rPr>
          <w:rFonts w:ascii="Arial" w:hAnsi="Arial" w:eastAsia="Arial" w:cs="Arial"/>
          <w:sz w:val="20"/>
          <w:szCs w:val="20"/>
          <w:lang w:val="it-IT" w:eastAsia="it-IT" w:bidi="it-IT"/>
        </w:rPr>
        <w:t xml:space="preserve">Codice Fiscale </w:t>
      </w:r>
      <w:r>
        <w:rPr>
          <w:rFonts w:ascii="Arial" w:hAnsi="Arial" w:eastAsia="Arial" w:cs="Arial"/>
          <w:noProof/>
          <w:color w:val="000000"/>
          <w:sz w:val="20"/>
          <w:szCs w:val="20"/>
          <w:lang w:val="it-IT" w:eastAsia="it-IT" w:bidi="it-IT"/>
        </w:rPr>
        <w:t xml:space="preserve">02090200672</w:t>
      </w:r>
    </w:p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jc w:val="center"/>
        <w:rPr>
          <w:rFonts w:ascii="Arial" w:hAnsi="Arial" w:eastAsia="Arial" w:cs="Arial"/>
          <w:sz w:val="20"/>
          <w:szCs w:val="20"/>
          <w:lang w:val="it-IT" w:eastAsia="it-IT" w:bidi="it-IT"/>
        </w:rPr>
      </w:pPr>
      <w:r>
        <w:rPr>
          <w:rFonts w:ascii="Arial" w:hAnsi="Arial" w:eastAsia="Arial" w:cs="Arial"/>
          <w:sz w:val="20"/>
          <w:szCs w:val="20"/>
          <w:lang w:val="it-IT" w:eastAsia="it-IT" w:bidi="it-IT"/>
        </w:rPr>
        <w:t xml:space="preserve">Iscrizione Runts </w:t>
      </w:r>
      <w:r>
        <w:rPr>
          <w:rFonts w:ascii="Arial" w:hAnsi="Arial" w:eastAsia="Arial" w:cs="Arial"/>
          <w:noProof/>
          <w:color w:val="000000"/>
          <w:sz w:val="20"/>
          <w:szCs w:val="20"/>
          <w:lang w:val="it-IT" w:eastAsia="it-IT" w:bidi="it-IT"/>
        </w:rPr>
        <w:t xml:space="preserve">387</w:t>
      </w:r>
    </w:p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jc w:val="center"/>
        <w:rPr>
          <w:rFonts w:ascii="Arial" w:hAnsi="Arial" w:eastAsia="Arial" w:cs="Arial"/>
          <w:sz w:val="20"/>
          <w:szCs w:val="20"/>
          <w:lang w:val="it-IT" w:eastAsia="it-IT" w:bidi="it-IT"/>
        </w:rPr>
      </w:pPr>
      <w:r>
        <w:rPr>
          <w:rFonts w:ascii="Arial" w:hAnsi="Arial" w:eastAsia="Arial" w:cs="Arial"/>
          <w:sz w:val="20"/>
          <w:szCs w:val="20"/>
          <w:lang w:val="it-IT" w:eastAsia="it-IT" w:bidi="it-IT"/>
        </w:rPr>
        <w:t xml:space="preserve">Sede in </w:t>
      </w:r>
      <w:r>
        <w:rPr>
          <w:rFonts w:ascii="Arial" w:hAnsi="Arial" w:eastAsia="Arial" w:cs="Arial"/>
          <w:noProof/>
          <w:color w:val="000000"/>
          <w:sz w:val="20"/>
          <w:szCs w:val="20"/>
          <w:lang w:val="it-IT" w:eastAsia="it-IT" w:bidi="it-IT"/>
        </w:rPr>
        <w:t xml:space="preserve">VIA RAMPA SIMONI MARIANNINA 7</w:t>
      </w:r>
      <w:r>
        <w:rPr>
          <w:rFonts w:ascii="Arial" w:hAnsi="Arial" w:eastAsia="Arial" w:cs="Arial"/>
          <w:sz w:val="20"/>
          <w:szCs w:val="20"/>
          <w:lang w:val="it-IT" w:eastAsia="it-IT" w:bidi="it-IT"/>
        </w:rPr>
        <w:t xml:space="preserve"> - </w:t>
      </w:r>
      <w:r>
        <w:rPr>
          <w:rFonts w:ascii="Arial" w:hAnsi="Arial" w:eastAsia="Arial" w:cs="Arial"/>
          <w:noProof/>
          <w:color w:val="000000"/>
          <w:sz w:val="20"/>
          <w:szCs w:val="20"/>
          <w:lang w:val="it-IT" w:eastAsia="it-IT" w:bidi="it-IT"/>
        </w:rPr>
        <w:t xml:space="preserve">64028 SILVI (TE)</w:t>
      </w:r>
    </w:p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jc w:val="center"/>
        <w:rPr>
          <w:rFonts w:ascii="Arial" w:hAnsi="Arial" w:eastAsia="Arial" w:cs="Arial"/>
          <w:sz w:val="20"/>
          <w:szCs w:val="20"/>
          <w:lang w:val="it-IT" w:eastAsia="it-IT" w:bidi="it-IT"/>
        </w:rPr>
      </w:pPr>
    </w:p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jc w:val="center"/>
        <w:rPr>
          <w:rFonts w:ascii="Arial" w:hAnsi="Arial" w:eastAsia="Arial" w:cs="Arial"/>
          <w:sz w:val="20"/>
          <w:szCs w:val="20"/>
          <w:lang w:val="it-IT" w:eastAsia="it-IT" w:bidi="it-IT"/>
        </w:rPr>
      </w:pPr>
    </w:p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jc w:val="center"/>
        <w:rPr>
          <w:rFonts w:ascii="Arial" w:hAnsi="Arial" w:eastAsia="Arial" w:cs="Arial"/>
          <w:sz w:val="28"/>
          <w:szCs w:val="28"/>
          <w:lang w:val="it-IT" w:eastAsia="it-IT" w:bidi="it-IT"/>
        </w:rPr>
      </w:pPr>
      <w:r>
        <w:rPr>
          <w:rFonts w:ascii="Arial" w:hAnsi="Arial" w:eastAsia="Arial" w:cs="Arial"/>
          <w:color w:val="000080"/>
          <w:sz w:val="28"/>
          <w:szCs w:val="28"/>
          <w:lang w:val="it-IT" w:eastAsia="it-IT" w:bidi="it-IT"/>
        </w:rPr>
        <w:t xml:space="preserve">Stato patrimoniale e Rendiconto gestionale al</w:t>
      </w:r>
      <w:r>
        <w:rPr>
          <w:rFonts w:ascii="Arial" w:hAnsi="Arial" w:eastAsia="Arial" w:cs="Arial"/>
          <w:sz w:val="28"/>
          <w:szCs w:val="28"/>
          <w:lang w:val="it-IT" w:eastAsia="it-IT" w:bidi="it-IT"/>
        </w:rPr>
        <w:t xml:space="preserve"> </w:t>
      </w:r>
      <w:r>
        <w:rPr>
          <w:rFonts w:ascii="Arial" w:hAnsi="Arial" w:eastAsia="Arial" w:cs="Arial"/>
          <w:noProof/>
          <w:color w:val="000000"/>
          <w:sz w:val="28"/>
          <w:szCs w:val="28"/>
          <w:lang w:val="it-IT" w:eastAsia="it-IT" w:bidi="it-IT"/>
        </w:rPr>
        <w:t xml:space="preserve">31/12/2023</w:t>
      </w:r>
    </w:p>
    <w:tbl>
      <w:tblPr>
        <w:tblW w:w="0" w:type="auto"/>
        <w:jc w:val="left"/>
        <w:tblInd w:w="7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577"/>
        <w:gridCol w:w="1566"/>
        <w:gridCol w:w="1566"/>
      </w:tblGrid>
      <w:tr>
        <w:tc>
          <w:tcPr>
            <w:tcW w:w="6577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color w:val="000080"/>
                <w:sz w:val="24"/>
                <w:szCs w:val="24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color w:val="000080"/>
                <w:sz w:val="24"/>
                <w:szCs w:val="24"/>
                <w:lang w:val="it-IT" w:eastAsia="it-IT" w:bidi="it-IT"/>
              </w:rPr>
              <w:t xml:space="preserve">Stato patrimoniale attivo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31/12/2023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31/12/2022</w:t>
            </w:r>
          </w:p>
        </w:tc>
      </w:tr>
    </w:tbl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rPr>
          <w:rFonts w:ascii="Arial" w:hAnsi="Arial" w:eastAsia="Arial" w:cs="Arial"/>
          <w:sz w:val="24"/>
          <w:szCs w:val="24"/>
          <w:lang w:val="it-IT" w:eastAsia="it-IT" w:bidi="it-IT"/>
        </w:rPr>
      </w:pPr>
    </w:p>
    <w:tbl>
      <w:tblPr>
        <w:tblW w:w="0" w:type="auto"/>
        <w:jc w:val="left"/>
        <w:tblInd w:w="7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591"/>
        <w:gridCol w:w="1559"/>
        <w:gridCol w:w="1559"/>
      </w:tblGrid>
      <w:tr>
        <w:trPr>
          <w:trHeight w:val="240" w:hRule="atLeast"/>
        </w:trPr>
        <w:tc>
          <w:tcPr>
            <w:tcW w:w="6591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27"/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</w:tabs>
              <w:spacing w:after="0" w:line="240" w:lineRule="auto"/>
              <w:ind w:left="227" w:hanging="227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  <w:t xml:space="preserve">A) Quote associative o apporti ancora dovuti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 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  </w:t>
            </w:r>
          </w:p>
        </w:tc>
      </w:tr>
    </w:tbl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rPr>
          <w:rFonts w:ascii="Arial" w:hAnsi="Arial" w:eastAsia="Arial" w:cs="Arial"/>
          <w:sz w:val="24"/>
          <w:szCs w:val="24"/>
          <w:lang w:val="it-IT" w:eastAsia="it-IT" w:bidi="it-IT"/>
        </w:rPr>
      </w:pPr>
    </w:p>
    <w:tbl>
      <w:tblPr>
        <w:tblW w:w="0" w:type="auto"/>
        <w:jc w:val="left"/>
        <w:tblInd w:w="7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591"/>
        <w:gridCol w:w="1559"/>
        <w:gridCol w:w="1559"/>
      </w:tblGrid>
      <w:tr>
        <w:trPr>
          <w:trHeight w:val="240" w:hRule="atLeast"/>
        </w:trPr>
        <w:tc>
          <w:tcPr>
            <w:tcW w:w="6591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27"/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</w:tabs>
              <w:spacing w:after="0" w:line="240" w:lineRule="auto"/>
              <w:ind w:left="227" w:hanging="227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  <w:t xml:space="preserve">B) Immobilizzazioni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I. Immateriali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Costi di impianto e di ampliamento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Costi di sviluppo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Diritti di brevetto industriale e diritti di utilizzazione delle opere dell’ingegno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4) Concessioni, licenze, marchi e diritti simili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5) Avviamento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6) Immobilizzazioni in corso e acconti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7) Altre ...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283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II. Materiali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Terreni e fabbricati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Impianti e macchinari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1.614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Attrezzature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4) Altri beni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5) Immobilizzazioni in corso e acconti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283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1.614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III. Finanziarie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Partecipazioni in: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a) imprese controllate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b) imprese collegate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c) altre imprese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Crediti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a) Verso imprese controllate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361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  <w:tab w:val="left" w:pos="4811"/>
              </w:tabs>
              <w:spacing w:after="0" w:line="240" w:lineRule="auto"/>
              <w:ind w:left="1361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361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  <w:tab w:val="left" w:pos="4811"/>
              </w:tabs>
              <w:spacing w:after="0" w:line="240" w:lineRule="auto"/>
              <w:ind w:left="1361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b) Verso imprese collegate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361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  <w:tab w:val="left" w:pos="4811"/>
              </w:tabs>
              <w:spacing w:after="0" w:line="240" w:lineRule="auto"/>
              <w:ind w:left="1361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361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  <w:tab w:val="left" w:pos="4811"/>
              </w:tabs>
              <w:spacing w:after="0" w:line="240" w:lineRule="auto"/>
              <w:ind w:left="1361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c) Verso altri enti del Terzo Settore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361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  <w:tab w:val="left" w:pos="4811"/>
              </w:tabs>
              <w:spacing w:after="0" w:line="240" w:lineRule="auto"/>
              <w:ind w:left="1361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361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  <w:tab w:val="left" w:pos="4811"/>
              </w:tabs>
              <w:spacing w:after="0" w:line="240" w:lineRule="auto"/>
              <w:ind w:left="1361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d) Verso altri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361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  <w:tab w:val="left" w:pos="4811"/>
              </w:tabs>
              <w:spacing w:after="0" w:line="240" w:lineRule="auto"/>
              <w:ind w:left="1361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361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  <w:tab w:val="left" w:pos="4811"/>
              </w:tabs>
              <w:spacing w:after="0" w:line="240" w:lineRule="auto"/>
              <w:ind w:left="1361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Altri titoli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283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lang w:val="it-IT" w:eastAsia="it-IT" w:bidi="it-IT"/>
              </w:rPr>
            </w:pPr>
          </w:p>
        </w:tc>
      </w:tr>
      <w:tr>
        <w:tc>
          <w:tcPr>
            <w:tcW w:w="6591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Totale immobilizzazioni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1.614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</w:tbl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rPr>
          <w:rFonts w:ascii="Arial" w:hAnsi="Arial" w:eastAsia="Arial" w:cs="Arial"/>
          <w:sz w:val="24"/>
          <w:szCs w:val="24"/>
          <w:lang w:val="it-IT" w:eastAsia="it-IT" w:bidi="it-IT"/>
        </w:rPr>
      </w:pPr>
    </w:p>
    <w:tbl>
      <w:tblPr>
        <w:tblW w:w="0" w:type="auto"/>
        <w:jc w:val="left"/>
        <w:tblInd w:w="7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591"/>
        <w:gridCol w:w="1559"/>
        <w:gridCol w:w="1559"/>
      </w:tblGrid>
      <w:tr>
        <w:trPr>
          <w:trHeight w:val="240" w:hRule="atLeast"/>
        </w:trPr>
        <w:tc>
          <w:tcPr>
            <w:tcW w:w="6591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27"/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</w:tabs>
              <w:spacing w:after="0" w:line="240" w:lineRule="auto"/>
              <w:ind w:left="227" w:hanging="227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  <w:t xml:space="preserve">C) Attivo circolante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I. Rimanenze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Materie prime, sussidiarie e di consumo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Prodotti in corso di lavorazione e semilavorati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Lavori in corso su ordinazione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4) Prodotti finiti e merci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5) Acconti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283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283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II. Crediti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Verso utenti e clienti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Verso associati e fondatori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1.500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1.500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Verso enti pubblici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4) Verso soggetti privati per contributi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5) Verso enti della stessa rete associativa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6) Verso altri enti del Terzo Settore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7) Verso imprese controllate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8) Verso imprese collegate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9) Per crediti tributari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10) Da 5 per mille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11) Per imposte anticipate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12) Verso altri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077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  <w:tab w:val="left" w:pos="4528"/>
              </w:tabs>
              <w:spacing w:after="0" w:line="240" w:lineRule="auto"/>
              <w:ind w:left="1077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i/>
                <w:iCs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1.500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i/>
                <w:iCs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142"/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</w:tabs>
              <w:spacing w:after="0" w:line="240" w:lineRule="auto"/>
              <w:ind w:left="142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III. Attività finanziarie che non costituiscono immobilizzazioni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Partecipazioni in imprese controllate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Partecipazioni in imprese collegate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Altri titoli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firstLine="142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IV. Disponibilità liquide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Depositi bancari e postali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5.306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6.954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Assegni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Denaro e valori in cassa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5.306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6.954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38" w:hRule="atLeast"/>
        </w:trPr>
        <w:tc>
          <w:tcPr>
            <w:tcW w:w="6591" w:type="dxa"/>
            <w:shd w:val="clear" w:color="auto" w:fill="F3F3F3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Totale attivo circolante</w:t>
            </w:r>
          </w:p>
        </w:tc>
        <w:tc>
          <w:tcPr>
            <w:tcW w:w="1559" w:type="dxa"/>
            <w:shd w:val="clear" w:color="auto" w:fill="F3F3F3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6.806</w:t>
            </w:r>
          </w:p>
        </w:tc>
        <w:tc>
          <w:tcPr>
            <w:tcW w:w="1559" w:type="dxa"/>
            <w:shd w:val="clear" w:color="auto" w:fill="F3F3F3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6.954</w:t>
            </w:r>
          </w:p>
        </w:tc>
      </w:tr>
    </w:tbl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rPr>
          <w:rFonts w:ascii="Arial" w:hAnsi="Arial" w:eastAsia="Arial" w:cs="Arial"/>
          <w:sz w:val="24"/>
          <w:szCs w:val="24"/>
          <w:lang w:val="it-IT" w:eastAsia="it-IT" w:bidi="it-IT"/>
        </w:rPr>
      </w:pPr>
    </w:p>
    <w:tbl>
      <w:tblPr>
        <w:tblW w:w="0" w:type="auto"/>
        <w:jc w:val="left"/>
        <w:tblInd w:w="7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591"/>
        <w:gridCol w:w="1559"/>
        <w:gridCol w:w="1559"/>
      </w:tblGrid>
      <w:tr>
        <w:trPr>
          <w:trHeight w:val="240" w:hRule="atLeast"/>
        </w:trPr>
        <w:tc>
          <w:tcPr>
            <w:tcW w:w="6591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27"/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</w:tabs>
              <w:spacing w:after="0" w:line="240" w:lineRule="auto"/>
              <w:ind w:left="227" w:hanging="227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  <w:t xml:space="preserve">D) Ratei e risconti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  </w:t>
            </w:r>
          </w:p>
        </w:tc>
      </w:tr>
    </w:tbl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rPr>
          <w:rFonts w:ascii="Arial" w:hAnsi="Arial" w:eastAsia="Arial" w:cs="Arial"/>
          <w:sz w:val="24"/>
          <w:szCs w:val="24"/>
          <w:lang w:val="it-IT" w:eastAsia="it-IT" w:bidi="it-IT"/>
        </w:rPr>
      </w:pPr>
    </w:p>
    <w:tbl>
      <w:tblPr>
        <w:tblW w:w="0" w:type="auto"/>
        <w:jc w:val="left"/>
        <w:tblInd w:w="7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591"/>
        <w:gridCol w:w="1559"/>
        <w:gridCol w:w="1559"/>
      </w:tblGrid>
      <w:tr>
        <w:trPr>
          <w:trHeight w:val="400" w:hRule="atLeast"/>
        </w:trPr>
        <w:tc>
          <w:tcPr>
            <w:tcW w:w="6591" w:type="dxa"/>
            <w:shd w:val="clear" w:color="auto" w:fill="F3F3F3"/>
            <w:vAlign w:val="center"/>
          </w:tcPr>
          <w:p>
            <w:pPr>
              <w:pStyle w:val="Normal"/>
              <w:tabs>
                <w:tab w:val="left" w:pos="227"/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</w:tabs>
              <w:spacing w:after="0" w:line="240" w:lineRule="auto"/>
              <w:ind w:left="227" w:hanging="227"/>
              <w:rPr>
                <w:rFonts w:ascii="Arial" w:hAnsi="Arial" w:eastAsia="Arial" w:cs="Arial"/>
                <w:b/>
                <w:bCs/>
                <w:color w:val="000080"/>
                <w:sz w:val="24"/>
                <w:szCs w:val="24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color w:val="000080"/>
                <w:sz w:val="24"/>
                <w:szCs w:val="24"/>
                <w:lang w:val="it-IT" w:eastAsia="it-IT" w:bidi="it-IT"/>
              </w:rPr>
              <w:t xml:space="preserve">Totale attivo</w:t>
            </w:r>
          </w:p>
        </w:tc>
        <w:tc>
          <w:tcPr>
            <w:tcW w:w="1559" w:type="dxa"/>
            <w:shd w:val="clear" w:color="auto" w:fill="F3F3F3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80"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8.420</w:t>
            </w:r>
          </w:p>
        </w:tc>
        <w:tc>
          <w:tcPr>
            <w:tcW w:w="1559" w:type="dxa"/>
            <w:shd w:val="clear" w:color="auto" w:fill="F3F3F3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80"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6.954</w:t>
            </w:r>
          </w:p>
        </w:tc>
      </w:tr>
    </w:tbl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rPr>
          <w:rFonts w:ascii="Arial" w:hAnsi="Arial" w:eastAsia="Arial" w:cs="Arial"/>
          <w:sz w:val="24"/>
          <w:szCs w:val="24"/>
          <w:lang w:val="it-IT" w:eastAsia="it-IT" w:bidi="it-IT"/>
        </w:rPr>
      </w:pPr>
    </w:p>
    <w:tbl>
      <w:tblPr>
        <w:tblW w:w="0" w:type="auto"/>
        <w:jc w:val="left"/>
        <w:tblInd w:w="7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661"/>
        <w:gridCol w:w="1489"/>
        <w:gridCol w:w="1559"/>
      </w:tblGrid>
      <w:tr>
        <w:tc>
          <w:tcPr>
            <w:tcW w:w="666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color w:val="000080"/>
                <w:sz w:val="24"/>
                <w:szCs w:val="24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color w:val="000080"/>
                <w:sz w:val="24"/>
                <w:szCs w:val="24"/>
                <w:lang w:val="it-IT" w:eastAsia="it-IT" w:bidi="it-IT"/>
              </w:rPr>
              <w:t xml:space="preserve">Stato patrimoniale passivo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31/12/2023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31/12/2022</w:t>
            </w:r>
          </w:p>
        </w:tc>
      </w:tr>
    </w:tbl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rPr>
          <w:rFonts w:ascii="Arial" w:hAnsi="Arial" w:eastAsia="Arial" w:cs="Arial"/>
          <w:sz w:val="24"/>
          <w:szCs w:val="24"/>
          <w:lang w:val="it-IT" w:eastAsia="it-IT" w:bidi="it-IT"/>
        </w:rPr>
      </w:pPr>
    </w:p>
    <w:tbl>
      <w:tblPr>
        <w:tblW w:w="0" w:type="auto"/>
        <w:jc w:val="left"/>
        <w:tblInd w:w="7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591"/>
        <w:gridCol w:w="1559"/>
        <w:gridCol w:w="1559"/>
      </w:tblGrid>
      <w:tr>
        <w:trPr>
          <w:trHeight w:val="240" w:hRule="atLeast"/>
        </w:trPr>
        <w:tc>
          <w:tcPr>
            <w:tcW w:w="6591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27"/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</w:tabs>
              <w:spacing w:after="0" w:line="240" w:lineRule="auto"/>
              <w:ind w:left="227" w:hanging="227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  <w:t xml:space="preserve">A) Patrimonio netto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I. Fondo di dotazione dell’ente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6.954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2.246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II. Patrimonio vincolato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Riserve statutarie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Riserve vincolate per decisione degli organi istituzionali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Riserve vincolate destinate da terzi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III. Patrimonio libero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Riserve di utili o avanzi di gestione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Altre riserve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(1)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(1)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IV. Avanzo (disavanzo) dell’esercizio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1.165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4.709</w:t>
            </w:r>
          </w:p>
        </w:tc>
      </w:tr>
      <w:tr>
        <w:tc>
          <w:tcPr>
            <w:tcW w:w="6591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283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8.120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6.954</w:t>
            </w:r>
          </w:p>
        </w:tc>
      </w:tr>
    </w:tbl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rPr>
          <w:rFonts w:ascii="Arial" w:hAnsi="Arial" w:eastAsia="Arial" w:cs="Arial"/>
          <w:sz w:val="24"/>
          <w:szCs w:val="24"/>
          <w:lang w:val="it-IT" w:eastAsia="it-IT" w:bidi="it-IT"/>
        </w:rPr>
      </w:pPr>
    </w:p>
    <w:tbl>
      <w:tblPr>
        <w:tblW w:w="0" w:type="auto"/>
        <w:jc w:val="left"/>
        <w:tblInd w:w="7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591"/>
        <w:gridCol w:w="1559"/>
        <w:gridCol w:w="1559"/>
      </w:tblGrid>
      <w:tr>
        <w:trPr>
          <w:trHeight w:val="240" w:hRule="atLeast"/>
        </w:trPr>
        <w:tc>
          <w:tcPr>
            <w:tcW w:w="6591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27"/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</w:tabs>
              <w:spacing w:after="0" w:line="240" w:lineRule="auto"/>
              <w:ind w:left="227" w:hanging="227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  <w:t xml:space="preserve">B) Fondi per rischi e oneri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</w:p>
        </w:tc>
      </w:tr>
      <w:tr>
        <w:trPr>
          <w:trHeight w:val="238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Fondi di trattamento di quiescenza e obblighi simili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38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Fondi per imposte, anche differite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38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Altri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283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</w:tbl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rPr>
          <w:rFonts w:ascii="Arial" w:hAnsi="Arial" w:eastAsia="Arial" w:cs="Arial"/>
          <w:sz w:val="24"/>
          <w:szCs w:val="24"/>
          <w:lang w:val="it-IT" w:eastAsia="it-IT" w:bidi="it-IT"/>
        </w:rPr>
      </w:pPr>
    </w:p>
    <w:tbl>
      <w:tblPr>
        <w:tblW w:w="0" w:type="auto"/>
        <w:jc w:val="left"/>
        <w:tblInd w:w="7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591"/>
        <w:gridCol w:w="1559"/>
        <w:gridCol w:w="1559"/>
      </w:tblGrid>
      <w:tr>
        <w:trPr>
          <w:trHeight w:val="240" w:hRule="atLeast"/>
        </w:trPr>
        <w:tc>
          <w:tcPr>
            <w:tcW w:w="6591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27"/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</w:tabs>
              <w:spacing w:after="0" w:line="240" w:lineRule="auto"/>
              <w:ind w:left="227" w:hanging="227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  <w:t xml:space="preserve">C) Trattamento di fine rapporto di lavoro subordinato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27"/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</w:tabs>
              <w:spacing w:after="0" w:line="240" w:lineRule="auto"/>
              <w:ind w:left="227" w:hanging="227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  <w:t xml:space="preserve">D) Debiti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1) Verso banche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2) Verso altri finanziatori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3) Verso associati e fondatori per finanziamenti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4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76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4) Verso enti della stessa rete associativa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4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76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5) Per erogazioni liberali condizionate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6) Acconti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7) Verso fornitori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8) Verso imprese controllate e collegate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9) Tributari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300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10) Verso istituti di previdenza e di sicurezza sociale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11) Verso dipendenti e collaboratori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08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400" w:hRule="atLeast"/>
        </w:trPr>
        <w:tc>
          <w:tcPr>
            <w:tcW w:w="6591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510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510" w:hanging="227"/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i/>
                <w:iCs/>
                <w:color w:val="000080"/>
                <w:sz w:val="18"/>
                <w:szCs w:val="18"/>
                <w:lang w:val="it-IT" w:eastAsia="it-IT" w:bidi="it-IT"/>
              </w:rPr>
              <w:t xml:space="preserve">12) Altri debiti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i/>
                <w:i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entro l’esercizio successivo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trHeight w:val="240" w:hRule="atLeast"/>
        </w:trP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94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  <w:tab w:val="left" w:pos="4245"/>
              </w:tabs>
              <w:spacing w:after="0" w:line="240" w:lineRule="auto"/>
              <w:ind w:left="794" w:hanging="227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- oltre l’esercizio successivo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c>
          <w:tcPr>
            <w:tcW w:w="6591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ind w:left="283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300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</w:tbl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rPr>
          <w:rFonts w:ascii="Arial" w:hAnsi="Arial" w:eastAsia="Arial" w:cs="Arial"/>
          <w:sz w:val="24"/>
          <w:szCs w:val="24"/>
          <w:lang w:val="it-IT" w:eastAsia="it-IT" w:bidi="it-IT"/>
        </w:rPr>
      </w:pPr>
    </w:p>
    <w:tbl>
      <w:tblPr>
        <w:tblW w:w="0" w:type="auto"/>
        <w:jc w:val="left"/>
        <w:tblInd w:w="7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591"/>
        <w:gridCol w:w="1559"/>
        <w:gridCol w:w="1559"/>
      </w:tblGrid>
      <w:tr>
        <w:trPr>
          <w:trHeight w:val="240" w:hRule="atLeast"/>
        </w:trPr>
        <w:tc>
          <w:tcPr>
            <w:tcW w:w="6591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27"/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</w:tabs>
              <w:spacing w:after="0" w:line="240" w:lineRule="auto"/>
              <w:ind w:left="227" w:hanging="227"/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lang w:val="it-IT" w:eastAsia="it-IT" w:bidi="it-IT"/>
              </w:rPr>
              <w:t xml:space="preserve">E) Ratei e risconti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  </w:t>
            </w:r>
          </w:p>
        </w:tc>
        <w:tc>
          <w:tcPr>
            <w:tcW w:w="1559" w:type="dxa"/>
            <w:shd w:val="clear" w:color="auto" w:fill="F3F3F3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  </w:t>
            </w:r>
          </w:p>
        </w:tc>
      </w:tr>
    </w:tbl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rPr>
          <w:rFonts w:ascii="Arial" w:hAnsi="Arial" w:eastAsia="Arial" w:cs="Arial"/>
          <w:sz w:val="24"/>
          <w:szCs w:val="24"/>
          <w:lang w:val="it-IT" w:eastAsia="it-IT" w:bidi="it-IT"/>
        </w:rPr>
      </w:pPr>
    </w:p>
    <w:tbl>
      <w:tblPr>
        <w:tblW w:w="0" w:type="auto"/>
        <w:jc w:val="left"/>
        <w:tblInd w:w="7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591"/>
        <w:gridCol w:w="1559"/>
        <w:gridCol w:w="1559"/>
      </w:tblGrid>
      <w:tr>
        <w:trPr>
          <w:trHeight w:val="400" w:hRule="atLeast"/>
        </w:trPr>
        <w:tc>
          <w:tcPr>
            <w:tcW w:w="6591" w:type="dxa"/>
            <w:shd w:val="clear" w:color="auto" w:fill="F3F3F3"/>
            <w:vAlign w:val="center"/>
          </w:tcPr>
          <w:p>
            <w:pPr>
              <w:pStyle w:val="Normal"/>
              <w:tabs>
                <w:tab w:val="left" w:pos="227"/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</w:tabs>
              <w:spacing w:after="0" w:line="240" w:lineRule="auto"/>
              <w:ind w:left="227" w:hanging="227"/>
              <w:rPr>
                <w:rFonts w:ascii="Arial" w:hAnsi="Arial" w:eastAsia="Arial" w:cs="Arial"/>
                <w:b/>
                <w:bCs/>
                <w:color w:val="000080"/>
                <w:sz w:val="24"/>
                <w:szCs w:val="24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color w:val="000080"/>
                <w:sz w:val="24"/>
                <w:szCs w:val="24"/>
                <w:lang w:val="it-IT" w:eastAsia="it-IT" w:bidi="it-IT"/>
              </w:rPr>
              <w:t xml:space="preserve">Totale passivo</w:t>
            </w:r>
          </w:p>
        </w:tc>
        <w:tc>
          <w:tcPr>
            <w:tcW w:w="1559" w:type="dxa"/>
            <w:shd w:val="clear" w:color="auto" w:fill="F3F3F3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80"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8.420</w:t>
            </w:r>
          </w:p>
        </w:tc>
        <w:tc>
          <w:tcPr>
            <w:tcW w:w="1559" w:type="dxa"/>
            <w:shd w:val="clear" w:color="auto" w:fill="F3F3F3"/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color w:val="000080"/>
                <w:sz w:val="20"/>
                <w:szCs w:val="20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20"/>
                <w:szCs w:val="20"/>
                <w:lang w:val="it-IT" w:eastAsia="it-IT" w:bidi="it-IT"/>
              </w:rPr>
              <w:t xml:space="preserve">6.954</w:t>
            </w:r>
          </w:p>
        </w:tc>
      </w:tr>
    </w:tbl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jc w:val="center"/>
        <w:rPr>
          <w:lang w:val="it-IT" w:eastAsia="it-IT" w:bidi="it-IT"/>
        </w:rPr>
      </w:pPr>
    </w:p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jc w:val="center"/>
        <w:rPr>
          <w:lang w:val="it-IT" w:eastAsia="it-IT" w:bidi="it-IT"/>
        </w:rPr>
      </w:pPr>
    </w:p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jc w:val="center"/>
        <w:rPr>
          <w:lang w:val="it-IT" w:eastAsia="it-IT" w:bidi="it-IT"/>
        </w:rPr>
      </w:pPr>
      <w:r>
        <w:rPr>
          <w:rFonts w:ascii="Arial" w:hAnsi="Arial" w:eastAsia="Arial" w:cs="Arial"/>
          <w:b/>
          <w:bCs/>
          <w:color w:val="000080"/>
          <w:sz w:val="24"/>
          <w:szCs w:val="24"/>
          <w:lang w:val="it-IT" w:eastAsia="it-IT" w:bidi="it-IT"/>
        </w:rPr>
        <w:t xml:space="preserve">Rendiconto gestionale</w:t>
      </w:r>
    </w:p>
    <w:tbl>
      <w:tblPr>
        <w:tblW w:w="0" w:type="auto"/>
        <w:jc w:val="left"/>
        <w:tblInd w:w="28" w:type="dxa"/>
        <w:tblBorders>
          <w:top w:val="single" w:sz="2" w:space="0" w:color="D9D9D9"/>
          <w:left w:val="single" w:sz="2" w:space="0" w:color="D9D9D9"/>
          <w:bottom w:val="single" w:sz="2" w:space="0" w:color="D9D9D9"/>
          <w:right w:val="single" w:sz="2" w:space="0" w:color="D9D9D9"/>
          <w:insideH w:val="none"/>
          <w:insideV w:val="single" w:sz="2" w:space="0" w:color="D9D9D9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2122"/>
        <w:gridCol w:w="1385"/>
        <w:gridCol w:w="1385"/>
        <w:gridCol w:w="2119"/>
        <w:gridCol w:w="1385"/>
        <w:gridCol w:w="1388"/>
      </w:tblGrid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A) Costi e oneri da attività di interesse generale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31/12/2023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31/12/2022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A) Ricavi, rendite e proventi da attività di interesse generale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31/12/2023</w:t>
            </w:r>
          </w:p>
        </w:tc>
        <w:tc>
          <w:tcPr>
            <w:tcW w:w="1388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31/12/2022</w:t>
            </w:r>
          </w:p>
        </w:tc>
      </w:tr>
    </w:tbl>
    <w:tbl>
      <w:tblPr>
        <w:tblW w:w="0" w:type="auto"/>
        <w:jc w:val="left"/>
        <w:tblInd w:w="28" w:type="dxa"/>
        <w:tblBorders>
          <w:top w:val="single" w:sz="2" w:space="0" w:color="D9D9D9"/>
          <w:left w:val="single" w:sz="2" w:space="0" w:color="D9D9D9"/>
          <w:bottom w:val="single" w:sz="2" w:space="0" w:color="D9D9D9"/>
          <w:right w:val="single" w:sz="2" w:space="0" w:color="D9D9D9"/>
          <w:insideH w:val="single" w:sz="2" w:space="0" w:color="D9D9D9"/>
          <w:insideV w:val="single" w:sz="2" w:space="0" w:color="D9D9D9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2122"/>
        <w:gridCol w:w="1385"/>
        <w:gridCol w:w="1385"/>
        <w:gridCol w:w="2119"/>
        <w:gridCol w:w="1385"/>
        <w:gridCol w:w="1388"/>
      </w:tblGrid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Materie prime, sussidiarie, di consumo e merci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1.513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1.730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Proventi da quote associative e apporti dei fondatori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700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Servizi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19.404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13.792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Proventi dagli associati per attività mutuali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Godimento beni di terzi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146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117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Ricavi per prestazioni e cessioni ad associati e fondatori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23.100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20.950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4) Personale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4) Erogazioni liberali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5) Ammortamenti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131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5) Proventi del 5 per mille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5bis) Svalutazioni delle immobilizzazioni materiali e immateriali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6) Contributi da soggetti privati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6) Accantonamenti per rischi ed oneri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7) Ricavi per prestazioni e cessioni a terzi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7) Oneri diversi di gestione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508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1.145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8) Contributi da enti pubblici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8) Rimanenze iniziali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9) Proventi da contratti con enti pubblici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9) Accantonamento a riserva vincolata per decisione degli organi istituzionali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10) Altri ricavi, rendite e proventi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12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10) Utilizzo riserva vincolata per decisione degli organi istituzionali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11) Rimanenze finali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21.702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16.784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23.100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21.662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Avanzo/disavanzo attività di interesse generale (+/-)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1.398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4.877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B) Costi e oneri da attività diverse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31/12/2023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31/12/2022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B) Ricavi, rendite e proventi da attività diverse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31/12/2023</w:t>
            </w:r>
          </w:p>
        </w:tc>
        <w:tc>
          <w:tcPr>
            <w:tcW w:w="1388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31/12/2022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Materie prime, sussidiarie, di consumo e merci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Ricavi per prestazioni e cessioni ad associati e fondatori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Servizi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Contributi da soggetti privati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Godimento beni di terzi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Ricavi per prestazioni e cessioni a terzi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4) Personale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4) Contributi da enti pubblici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5) Ammortamenti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5) Proventi da contratti con enti pubblici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5bis) Svalutazioni delle immobilizzazioni materiali e immateriali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6) Altri ricavi, rendite e proventi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6) Accantonamenti per rischi e oneri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7) Rimanenze finali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7) Oneri diversi di gestione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8) Rimanenze iniziali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Avanzo/disavanzo attività diverse(+/-)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C) Costi e oneri da attività di raccolta fondi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31/12/2023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31/12/2022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C) Ricavi, rendite e proventi da attività di raccolta fondi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31/12/2023</w:t>
            </w:r>
          </w:p>
        </w:tc>
        <w:tc>
          <w:tcPr>
            <w:tcW w:w="1388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31/12/2022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Oneri per raccolte fondi abituali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Proventi da raccolte fondi abituali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Oneri per raccolte fondi occasionali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Proventi da raccolte fondi occasionali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Altri oneri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Altri proventi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Avanzo/disavanzo da attività di raccolta fondi (+/-)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center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center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D) Costi e oneri da attività finanziarie e patrimoniali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31/12/2023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31/12/2022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D) Ricavi, rendite e proventi da attività finanziarie e patrimoniali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31/12/2023</w:t>
            </w:r>
          </w:p>
        </w:tc>
        <w:tc>
          <w:tcPr>
            <w:tcW w:w="1388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31/12/2022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Su rapporti bancari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233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169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Da rapporti bancari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Su prestiti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Da altri investimenti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Da patrimonio edilizio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Da patrimonio edilizio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4) Da altri beni patrimoniali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4) Da altri beni patrimoniali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5) Accantonamenti per rischi e oneri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5) Altri proventi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6) Altri oneri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233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169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Avanzo/disavanzo da attività finanziarie e patrimoniali (+/-)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(232)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(169)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E) Costi e oneri di supporto generale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31/12/2023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31/12/2022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E) Proventi di supporto generale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31/12/2023</w:t>
            </w:r>
          </w:p>
        </w:tc>
        <w:tc>
          <w:tcPr>
            <w:tcW w:w="1388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31/12/2022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Materie prime, sussidiarie, di consumo e merci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Proventi da distacco del personale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Servizi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Altri proventi di supporto generale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3) Godimento beni di terzi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4) Personale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5) Ammortamenti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5bis) Svalutazioni delle immobilizzazioni materiali e immateriali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6) Accantonamenti per rischi e oneri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7) Altri oneri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8) Accantonamento a riserva vincolata per decisione degli organi istituzionali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9) Utilizzo riserva vincolata per decisione degli organi istituzionali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Totale oneri e costi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21.935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16.953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Totale proventi e ricavi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23.100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21.662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Avanzo/disavanzo d’esercizio prima delle imposte (+/-)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1.165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4.708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Imposte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Avanzo/disavanzo d’esercizio (+/-)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1.165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4.708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FF0000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Costi figurativi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center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31/12/2023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center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31/12/2022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lang w:val="it-IT" w:eastAsia="it-IT" w:bidi="it-IT"/>
              </w:rPr>
              <w:t xml:space="preserve">Proventi figurativi</w:t>
            </w:r>
          </w:p>
        </w:tc>
        <w:tc>
          <w:tcPr>
            <w:tcW w:w="138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center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31/12/2023</w:t>
            </w:r>
          </w:p>
        </w:tc>
        <w:tc>
          <w:tcPr>
            <w:tcW w:w="1388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center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31/12/2022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da attività di interesse generale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1) da attività di interesse generale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da attività diverse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2) da attività diverse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  <w:tr>
        <w:trPr>
          <w:cantSplit/>
        </w:trPr>
        <w:tc>
          <w:tcPr>
            <w:tcW w:w="2122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211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it-IT" w:eastAsia="it-IT" w:bidi="it-IT"/>
              </w:rPr>
              <w:t xml:space="preserve">Totale</w:t>
            </w:r>
          </w:p>
        </w:tc>
        <w:tc>
          <w:tcPr>
            <w:tcW w:w="1385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  <w:tc>
          <w:tcPr>
            <w:tcW w:w="1388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283"/>
                <w:tab w:val="left" w:pos="566"/>
                <w:tab w:val="left" w:pos="849"/>
                <w:tab w:val="left" w:pos="1132"/>
                <w:tab w:val="left" w:pos="1415"/>
                <w:tab w:val="left" w:pos="1698"/>
                <w:tab w:val="left" w:pos="1981"/>
                <w:tab w:val="left" w:pos="2264"/>
                <w:tab w:val="left" w:pos="2547"/>
                <w:tab w:val="left" w:pos="2830"/>
                <w:tab w:val="left" w:pos="3113"/>
                <w:tab w:val="left" w:pos="3396"/>
                <w:tab w:val="left" w:pos="3679"/>
                <w:tab w:val="left" w:pos="3962"/>
              </w:tabs>
              <w:spacing w:after="0" w:line="240" w:lineRule="auto"/>
              <w:jc w:val="right"/>
              <w:rPr>
                <w:rFonts w:ascii="Arial" w:hAnsi="Arial" w:eastAsia="Arial" w:cs="Arial"/>
                <w:color w:val="000000"/>
                <w:sz w:val="18"/>
                <w:szCs w:val="18"/>
                <w:shd w:val="clear" w:color="auto" w:fill="D3D3D3"/>
                <w:lang w:val="it-IT" w:eastAsia="it-IT" w:bidi="it-IT"/>
              </w:rPr>
            </w:pPr>
            <w:r>
              <w:rPr>
                <w:rFonts w:ascii="Arial" w:hAnsi="Arial" w:eastAsia="Arial" w:cs="Arial"/>
                <w:noProof/>
                <w:color w:val="000000"/>
                <w:sz w:val="18"/>
                <w:szCs w:val="18"/>
                <w:lang w:val="it-IT" w:eastAsia="it-IT" w:bidi="it-IT"/>
              </w:rPr>
              <w:t xml:space="preserve">  </w:t>
            </w:r>
          </w:p>
        </w:tc>
      </w:tr>
    </w:tbl>
    <w:p>
      <w:pPr>
        <w:pStyle w:val="Normal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</w:tabs>
        <w:spacing w:after="0" w:line="240" w:lineRule="auto"/>
        <w:rPr>
          <w:rFonts w:ascii="Arial" w:hAnsi="Arial" w:eastAsia="Arial" w:cs="Arial"/>
          <w:color w:val="000000"/>
          <w:sz w:val="18"/>
          <w:szCs w:val="18"/>
          <w:shd w:val="clear" w:color="auto" w:fill="D3D3D3"/>
          <w:lang w:val="it-IT" w:eastAsia="it-IT" w:bidi="it-IT"/>
        </w:rPr>
      </w:pPr>
    </w:p>
    <w:sectPr>
      <w:headerReference w:type="default" r:id="rId00005"/>
      <w:footerReference w:type="default" r:id="rId00006"/>
      <w:pgSz w:w="11906" w:h="16838"/>
      <w:pgMar w:top="1417" w:right="1134" w:bottom="1134" w:left="1134" w:header="708" w:footer="708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200001FF" w:csb1="00000000"/>
  </w:font>
</w:fonts>
</file>

<file path=word/footer000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p>
    <w:pPr>
      <w:pStyle w:val="Footer"/>
      <w:rPr>
        <w:rFonts w:ascii="Arial" w:hAnsi="Arial" w:eastAsia="Arial" w:cs="Arial"/>
        <w:sz w:val="20"/>
        <w:szCs w:val="20"/>
        <w:lang w:val="it-IT" w:eastAsia="it-IT" w:bidi="it-IT"/>
      </w:rPr>
    </w:pPr>
    <w:r>
      <w:rPr>
        <w:rFonts w:ascii="Arial" w:hAnsi="Arial" w:eastAsia="Arial" w:cs="Arial"/>
        <w:sz w:val="20"/>
        <w:szCs w:val="20"/>
        <w:lang w:val="it-IT" w:eastAsia="it-IT" w:bidi="it-IT"/>
      </w:rPr>
      <w:t xml:space="preserve">Stato patrimoniale e Rendiconto gestionale al </w:t>
    </w:r>
    <w:r>
      <w:rPr>
        <w:rFonts w:ascii="Arial" w:hAnsi="Arial" w:eastAsia="Arial" w:cs="Arial"/>
        <w:noProof/>
        <w:sz w:val="20"/>
        <w:szCs w:val="20"/>
        <w:lang w:val="it-IT" w:eastAsia="it-IT" w:bidi="it-IT"/>
      </w:rPr>
      <w:t xml:space="preserve">31/12/2023</w:t>
    </w:r>
    <w:r>
      <w:rPr>
        <w:rFonts w:ascii="Arial" w:hAnsi="Arial" w:eastAsia="Arial" w:cs="Arial"/>
        <w:sz w:val="20"/>
        <w:szCs w:val="20"/>
        <w:lang w:val="it-IT" w:eastAsia="it-IT" w:bidi="it-IT"/>
      </w:rPr>
      <w:t xml:space="preserve">	Pagina </w:t>
    </w:r>
    <w:r>
      <w:rPr>
        <w:rFonts w:ascii="Arial" w:hAnsi="Arial" w:eastAsia="Arial" w:cs="Arial"/>
        <w:sz w:val="20"/>
        <w:szCs w:val="20"/>
        <w:lang w:val="it-IT" w:eastAsia="it-IT" w:bidi="it-IT"/>
      </w:rPr>
      <w:fldChar w:fldCharType="begin"/>
    </w:r>
    <w:r>
      <w:rPr>
        <w:rFonts w:ascii="Arial" w:hAnsi="Arial" w:eastAsia="Arial" w:cs="Arial"/>
        <w:sz w:val="20"/>
        <w:szCs w:val="20"/>
        <w:lang w:val="it-IT" w:eastAsia="it-IT" w:bidi="it-IT"/>
      </w:rPr>
      <w:instrText xml:space="preserve"> PAGE \* Arabic \* MERGEFORMAT </w:instrText>
    </w:r>
    <w:r>
      <w:rPr>
        <w:rFonts w:ascii="Arial" w:hAnsi="Arial" w:eastAsia="Arial" w:cs="Arial"/>
        <w:sz w:val="20"/>
        <w:szCs w:val="20"/>
        <w:lang w:val="it-IT" w:eastAsia="it-IT" w:bidi="it-IT"/>
      </w:rPr>
      <w:fldChar w:fldCharType="separate"/>
    </w:r>
    <w:r>
      <w:rPr>
        <w:rFonts w:ascii="Arial" w:hAnsi="Arial" w:eastAsia="Arial" w:cs="Arial"/>
        <w:sz w:val="20"/>
        <w:szCs w:val="20"/>
        <w:lang w:val="it-IT" w:eastAsia="it-IT" w:bidi="it-IT"/>
      </w:rPr>
      <w:t xml:space="preserve">4</w:t>
    </w:r>
    <w:r>
      <w:rPr>
        <w:rFonts w:ascii="Arial" w:hAnsi="Arial" w:eastAsia="Arial" w:cs="Arial"/>
        <w:sz w:val="20"/>
        <w:szCs w:val="20"/>
        <w:lang w:val="it-IT" w:eastAsia="it-IT" w:bidi="it-IT"/>
      </w:rPr>
      <w:fldChar w:fldCharType="end"/>
    </w:r>
  </w:p>
</w:ftr>
</file>

<file path=word/header000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p>
    <w:pPr>
      <w:pStyle w:val="Header"/>
      <w:jc w:val="right"/>
      <w:rPr>
        <w:rFonts w:ascii="Arial" w:hAnsi="Arial" w:eastAsia="Arial" w:cs="Arial"/>
        <w:sz w:val="20"/>
        <w:szCs w:val="20"/>
        <w:lang w:val="it-IT" w:eastAsia="it-IT" w:bidi="it-IT"/>
      </w:rPr>
    </w:pPr>
    <w:r>
      <w:rPr>
        <w:rFonts w:ascii="Arial" w:hAnsi="Arial" w:eastAsia="Arial" w:cs="Arial"/>
        <w:noProof/>
        <w:sz w:val="20"/>
        <w:szCs w:val="20"/>
        <w:lang w:val="it-IT" w:eastAsia="it-IT" w:bidi="it-IT"/>
      </w:rPr>
      <w:t xml:space="preserve">ODONTOIATRIA PRATICA E.T.S.</w:t>
    </w:r>
  </w:p>
</w:hdr>
</file>

<file path=word/settings.xml><?xml version="1.0" encoding="utf-8"?>
<w:settings xmlns:w="http://schemas.openxmlformats.org/wordprocessingml/2006/main" xmlns:mc="http://schemas.openxmlformats.org/markup-compatibility/2006" xmlns:tx24="http://schemas.textcontrol.com/tx/2400" xmlns:tx25="http://schemas.textcontrol.com/tx/2500" mc:Ignorable="tx24 tx25">
  <w:bordersDoNotSurroundHeader/>
  <w:defaultTabStop w:val="1134"/>
  <w:compat>
    <w:noExtraLineSpacing/>
    <w:doNotUseHTMLParagraphAutoSpacing/>
    <w:compatSetting w:name="compatibilityMode" w:uri="http://schemas.microsoft.com/office/word" w:val="15"/>
  </w:compat>
  <tx24:txVer tx24:val="31.0.422.500"/>
</w:settings>
</file>

<file path=word/styles.xml><?xml version="1.0" encoding="utf-8"?>
<w:styles xmlns:w="http://schemas.openxmlformats.org/wordprocessingml/2006/main">
  <w:docDefaults>
    <w:rPrDefault>
      <w:rPr>
        <w:rFonts w:ascii="Arial"/>
        <w:sz w:val="24"/>
      </w:rPr>
    </w:rPrDefault>
  </w:docDefaults>
  <w:style w:type="paragraph" w:styleId="[Normal]">
    <w:name w:val="[Normal]"/>
    <w:basedOn w:val="Normal"/>
    <w:next w:val="[Normal]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ascii="Arial" w:hAnsi="Arial" w:eastAsia="Arial" w:cs="Arial"/>
      <w:sz w:val="24"/>
      <w:szCs w:val="24"/>
      <w:lang w:val="en-US" w:eastAsia="en-US" w:bidi="en-US"/>
    </w:rPr>
  </w:style>
  <w:style w:type="paragraph" w:styleId="Normal">
    <w:name w:val="Normal"/>
    <w:next w:val="Normal"/>
    <w:qFormat/>
    <w:pPr>
      <w:widowControl w:val="on"/>
      <w:shd w:val="clear" w:color="auto" w:fill="auto"/>
      <w:spacing w:before="0" w:after="200" w:line="276" w:lineRule="auto"/>
      <w:ind w:left="0" w:right="0" w:firstLine="0"/>
      <w:jc w:val="left"/>
      <w:outlineLvl w:val="9"/>
    </w:pPr>
    <w:rPr>
      <w:rFonts w:ascii="Calibri" w:hAnsi="Calibri" w:eastAsia="Calibri" w:cs="Calibri"/>
      <w:b w:val="off"/>
      <w:bCs w:val="off"/>
      <w:i w:val="off"/>
      <w:iCs w:val="off"/>
      <w:caps w:val="off"/>
      <w:smallCaps w:val="off"/>
      <w:strike w:val="off"/>
      <w:color w:val="auto"/>
      <w:spacing w:val="0"/>
      <w:w w:val="100"/>
      <w:position w:val="0"/>
      <w:sz w:val="22"/>
      <w:szCs w:val="22"/>
      <w:shd w:val="clear" w:color="auto" w:fill="auto"/>
      <w:vertAlign w:val="baseline"/>
      <w:rtl w:val="off"/>
      <w:lang w:val="x-none" w:eastAsia="x-none" w:bidi="x-none"/>
    </w:rPr>
  </w:style>
  <w:style w:type="paragraph" w:styleId="Header">
    <w:name w:val="header"/>
    <w:basedOn w:val="Normal"/>
    <w:next w:val="Header"/>
    <w:qFormat/>
    <w:pPr>
      <w:tabs>
        <w:tab w:val="center" w:pos="4819"/>
        <w:tab w:val="right" w:pos="9638"/>
      </w:tabs>
      <w:spacing w:after="0" w:line="240" w:lineRule="auto"/>
    </w:pPr>
    <w:rPr/>
  </w:style>
  <w:style w:type="paragraph" w:styleId="Footer">
    <w:name w:val="footer"/>
    <w:basedOn w:val="Normal"/>
    <w:next w:val="Footer"/>
    <w:qFormat/>
    <w:pPr>
      <w:tabs>
        <w:tab w:val="center" w:pos="4819"/>
        <w:tab w:val="right" w:pos="9638"/>
      </w:tabs>
      <w:spacing w:after="0" w:line="240" w:lineRule="auto"/>
    </w:pPr>
    <w:rPr/>
  </w:style>
  <w:style w:type="character" w:styleId="Intestazione Carattere">
    <w:name w:val="Intestazione Carattere"/>
    <w:qFormat/>
    <w:rPr>
      <w:rFonts w:ascii="Times New Roman" w:hAnsi="Times New Roman" w:eastAsia="Times New Roman" w:cs="Times New Roman"/>
      <w:rtl w:val="off"/>
    </w:rPr>
  </w:style>
  <w:style w:type="character" w:styleId="Piè di pagina Carattere">
    <w:name w:val="Piè di pagina Carattere"/>
    <w:qFormat/>
    <w:rPr>
      <w:rFonts w:ascii="Times New Roman" w:hAnsi="Times New Roman" w:eastAsia="Times New Roman" w:cs="Times New Roman"/>
      <w:rtl w:val="off"/>
    </w:rPr>
  </w:style>
</w:styles>
</file>

<file path=word/_rels/document.xml.rels><?xml version="1.0" encoding="UTF-8" standalone="yes"?><Relationships xmlns="http://schemas.openxmlformats.org/package/2006/relationships">
	<Relationship Id="rId00004" Type="http://schemas.openxmlformats.org/officeDocument/2006/relationships/styles" Target="styles.xml"/>
	<Relationship Id="rId00005" Type="http://schemas.openxmlformats.org/officeDocument/2006/relationships/header" Target="header0001.xml"/>
	<Relationship Id="rId00006" Type="http://schemas.openxmlformats.org/officeDocument/2006/relationships/footer" Target="footer0001.xml"/>
	<Relationship Id="rId00007" Type="http://schemas.openxmlformats.org/officeDocument/2006/relationships/fontTable" Target="fontTable.xml"/>
	<Relationship Id="rId00008" Type="http://schemas.openxmlformats.org/officeDocument/2006/relationships/settings" Target="settings.xm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TS Bilancio In Cloud</Application>
  <HyperlinkBase>C:\GeneraModelli\Documenti\ETS\ETS_09gen23\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TeamSystem S.p.A.</dc:creator>
  <dcterms:created xsi:type="dcterms:W3CDTF">2024-05-27T08:51:27Z</dcterms:created>
</cp:coreProperties>
</file>